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1095"/>
        <w:gridCol w:w="1095"/>
        <w:gridCol w:w="5025"/>
        <w:gridCol w:w="899"/>
        <w:gridCol w:w="1801"/>
        <w:gridCol w:w="4245"/>
      </w:tblGrid>
      <w:tr w:rsidR="00737495" w:rsidTr="00C9124B">
        <w:trPr>
          <w:trHeight w:val="915"/>
          <w:jc w:val="center"/>
        </w:trPr>
        <w:tc>
          <w:tcPr>
            <w:tcW w:w="15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32"/>
                <w:szCs w:val="32"/>
              </w:rPr>
              <w:t>附件1</w:t>
            </w:r>
          </w:p>
        </w:tc>
      </w:tr>
      <w:tr w:rsidR="00737495" w:rsidTr="00C9124B">
        <w:trPr>
          <w:trHeight w:val="915"/>
          <w:jc w:val="center"/>
        </w:trPr>
        <w:tc>
          <w:tcPr>
            <w:tcW w:w="15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000000"/>
                <w:sz w:val="44"/>
                <w:szCs w:val="44"/>
              </w:rPr>
              <w:t>驻马店职业技术学院2024年招才引智引进高层次人才岗位一览表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岗位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  <w:t>类别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岗位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  <w:t>名称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岗位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  <w:t>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招聘专业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需求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  <w:t>人数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学历学位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  <w:t>要求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其他要求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机械工程、电气工程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博士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国内普通高校毕业或最新QS世界大学综合排名前100名高校博士研究生。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电子信息、智能科学与技术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博士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国内普通高校毕业或最新QS世界大学综合排名前100名高校博士研究生。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能源动力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博士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国内普通高校毕业或最新QS世界大学综合排名前100名高校博士研究生。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软件工程、计算机科学与工程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博士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国内普通高校毕业或最新QS世界大学综合排名前100名高校博士研究生。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马克思主义理论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博士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1.国内普通高校毕业或最新QS世界大学综合排名前100名高校博士研究生；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2.中共党员。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防灾减灾工程及防护工程、土木工程建造与管理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博士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国内普通高校毕业或最新QS世界大学综合排名前100名高校博士研究生。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计算机类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全日制大专及以上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国家技能大奖或者全国技术能手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机械工程、控制科学与工程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全日制大专及以上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国家技能大奖或者全国技术能手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计算机类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人工智能类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物联网类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大数据类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数字媒体类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信息安全类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1.机械制造及其自动化2.机械电子工程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1.智能电器与电工装备2.电机系统及控制3.电力系统及其自动化4.新能源发电与电能储存5.电气工程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1.集成电路设计与设计自动化2.集成电路制造工程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1.控制理论与控制工程2.建模仿真理论与技术3.系统工程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1.车辆工程2.车身工程3.载运工具运用工程4.交通运输工程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1.汽车电子工程2.汽车运用工程3.交通装备检测及控制工程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1.低碳能源化学与工程2.绿色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膜技术与装备3.环保装备及工程4.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碳储科学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与工程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1.绿色食品加工与安全工程2.农产品加工及贮藏工程3.食品科学与工程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音乐学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戏 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体育（民族传统体育学武术方向、足球）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0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硕士研究生及以上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1.国内双一流建设高校或最新QS世界大学综合排名前100名高校硕士研究生。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本硕专业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一致或相近。</w:t>
            </w:r>
          </w:p>
        </w:tc>
      </w:tr>
      <w:tr w:rsidR="00737495" w:rsidTr="00C9124B">
        <w:trPr>
          <w:trHeight w:val="1080"/>
          <w:jc w:val="center"/>
        </w:trPr>
        <w:tc>
          <w:tcPr>
            <w:tcW w:w="15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7495" w:rsidRDefault="00737495" w:rsidP="00C9124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注：1.硕士研究生年龄在30岁周岁以下（1994年9月30日以后出生）；博士研究生年龄在35周岁以下（1989年9月30日以后出生）；国家技能大奖或者全国技术能手年龄可适当放宽至45周岁（1979年9月30日以后出生）。2.专业认定以学校人才引进工作领导小组认定为准。</w:t>
            </w:r>
          </w:p>
        </w:tc>
      </w:tr>
    </w:tbl>
    <w:p w:rsidR="00200C90" w:rsidRPr="00737495" w:rsidRDefault="00200C90"/>
    <w:sectPr w:rsidR="00200C90" w:rsidRPr="00737495" w:rsidSect="007374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7495"/>
    <w:rsid w:val="00200C90"/>
    <w:rsid w:val="0073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9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2189</Characters>
  <Application>Microsoft Office Word</Application>
  <DocSecurity>0</DocSecurity>
  <Lines>18</Lines>
  <Paragraphs>5</Paragraphs>
  <ScaleCrop>false</ScaleCrop>
  <Company>微软中国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2024-10-29T07:28:00Z</dcterms:created>
  <dcterms:modified xsi:type="dcterms:W3CDTF">2024-10-29T07:29:00Z</dcterms:modified>
</cp:coreProperties>
</file>