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87680">
      <w:pPr>
        <w:jc w:val="lef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附件2</w:t>
      </w:r>
    </w:p>
    <w:p w14:paraId="33DE3EA7">
      <w:pPr>
        <w:jc w:val="center"/>
        <w:rPr>
          <w:rFonts w:hint="eastAsia" w:ascii="方正小标宋_GBK" w:hAnsi="Times New Roman" w:eastAsia="方正小标宋_GBK"/>
          <w:color w:val="000000"/>
          <w:w w:val="100"/>
          <w:sz w:val="56"/>
          <w:szCs w:val="56"/>
        </w:rPr>
      </w:pPr>
      <w:r>
        <w:rPr>
          <w:rFonts w:hint="eastAsia" w:ascii="方正小标宋_GBK" w:hAnsi="Times New Roman" w:eastAsia="方正小标宋_GBK"/>
          <w:color w:val="000000"/>
          <w:w w:val="100"/>
          <w:sz w:val="56"/>
          <w:szCs w:val="56"/>
        </w:rPr>
        <w:fldChar w:fldCharType="begin"/>
      </w:r>
      <w:r>
        <w:rPr>
          <w:rFonts w:hint="eastAsia" w:ascii="方正小标宋_GBK" w:hAnsi="Times New Roman" w:eastAsia="方正小标宋_GBK"/>
          <w:color w:val="000000"/>
          <w:w w:val="100"/>
          <w:sz w:val="56"/>
          <w:szCs w:val="56"/>
        </w:rPr>
        <w:instrText xml:space="preserve"> HYPERLINK "http://www.xinghua.gov.cn/module/download/downfile.jsp?classid=0&amp;filename=1804231043428574867.doc" </w:instrText>
      </w:r>
      <w:r>
        <w:rPr>
          <w:rFonts w:hint="eastAsia" w:ascii="方正小标宋_GBK" w:hAnsi="Times New Roman" w:eastAsia="方正小标宋_GBK"/>
          <w:color w:val="000000"/>
          <w:w w:val="100"/>
          <w:sz w:val="56"/>
          <w:szCs w:val="56"/>
        </w:rPr>
        <w:fldChar w:fldCharType="separate"/>
      </w:r>
      <w:r>
        <w:rPr>
          <w:rFonts w:hint="eastAsia" w:ascii="方正小标宋_GBK" w:hAnsi="Times New Roman" w:eastAsia="方正小标宋_GBK"/>
          <w:color w:val="000000"/>
          <w:w w:val="100"/>
          <w:sz w:val="56"/>
          <w:szCs w:val="56"/>
        </w:rPr>
        <w:fldChar w:fldCharType="end"/>
      </w:r>
      <w:r>
        <w:rPr>
          <w:rFonts w:hint="eastAsia" w:ascii="方正小标宋_GBK" w:hAnsi="Times New Roman" w:eastAsia="方正小标宋_GBK"/>
          <w:color w:val="000000"/>
          <w:w w:val="100"/>
          <w:sz w:val="56"/>
          <w:szCs w:val="56"/>
        </w:rPr>
        <w:t>兴化市事业单位公开招聘工作人员</w:t>
      </w:r>
    </w:p>
    <w:p w14:paraId="66F5E83D">
      <w:pPr>
        <w:jc w:val="center"/>
        <w:rPr>
          <w:rFonts w:hint="eastAsia" w:ascii="方正小标宋_GBK" w:hAnsi="Times New Roman" w:eastAsia="方正小标宋_GBK"/>
          <w:color w:val="000000"/>
          <w:w w:val="100"/>
          <w:sz w:val="56"/>
          <w:szCs w:val="56"/>
        </w:rPr>
      </w:pPr>
      <w:r>
        <w:rPr>
          <w:rFonts w:hint="eastAsia" w:ascii="方正小标宋_GBK" w:hAnsi="Times New Roman" w:eastAsia="方正小标宋_GBK"/>
          <w:color w:val="000000"/>
          <w:w w:val="100"/>
          <w:sz w:val="56"/>
          <w:szCs w:val="56"/>
        </w:rPr>
        <w:t>专业参考目录</w:t>
      </w:r>
      <w:bookmarkStart w:id="0" w:name="_GoBack"/>
      <w:bookmarkEnd w:id="0"/>
    </w:p>
    <w:p w14:paraId="084B3314">
      <w:pPr>
        <w:spacing w:line="240" w:lineRule="exact"/>
        <w:jc w:val="left"/>
        <w:rPr>
          <w:rFonts w:hint="eastAsia" w:ascii="楷体_GB2312" w:hAnsi="黑体" w:eastAsia="楷体_GB2312"/>
          <w:sz w:val="24"/>
        </w:rPr>
      </w:pPr>
    </w:p>
    <w:p w14:paraId="1F208641">
      <w:pPr>
        <w:spacing w:line="240" w:lineRule="exact"/>
        <w:jc w:val="left"/>
        <w:rPr>
          <w:rFonts w:hint="eastAsia" w:ascii="楷体_GB2312" w:hAnsi="黑体" w:eastAsia="楷体_GB2312"/>
          <w:sz w:val="24"/>
        </w:rPr>
      </w:pPr>
      <w:r>
        <w:rPr>
          <w:rFonts w:hint="eastAsia" w:ascii="楷体_GB2312" w:hAnsi="黑体" w:eastAsia="楷体_GB2312"/>
          <w:sz w:val="24"/>
        </w:rPr>
        <w:t>说明：专业大类涵盖范围包括研究生、本科、专科所列全部专业。</w:t>
      </w:r>
    </w:p>
    <w:p w14:paraId="415C9331">
      <w:pPr>
        <w:spacing w:line="240" w:lineRule="exact"/>
        <w:jc w:val="left"/>
        <w:rPr>
          <w:rFonts w:hint="eastAsia" w:ascii="楷体_GB2312" w:hAnsi="黑体" w:eastAsia="楷体_GB2312"/>
          <w:sz w:val="24"/>
        </w:rPr>
      </w:pPr>
    </w:p>
    <w:tbl>
      <w:tblPr>
        <w:tblStyle w:val="5"/>
        <w:tblW w:w="89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683"/>
        <w:gridCol w:w="2066"/>
        <w:gridCol w:w="2166"/>
        <w:gridCol w:w="2635"/>
      </w:tblGrid>
      <w:tr w14:paraId="59597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430" w:type="dxa"/>
            <w:noWrap w:val="0"/>
            <w:vAlign w:val="center"/>
          </w:tcPr>
          <w:p w14:paraId="2905EF03">
            <w:pPr>
              <w:jc w:val="both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683" w:type="dxa"/>
            <w:noWrap w:val="0"/>
            <w:vAlign w:val="top"/>
          </w:tcPr>
          <w:p w14:paraId="2FEA2202">
            <w:pPr>
              <w:jc w:val="center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-6350</wp:posOffset>
                      </wp:positionV>
                      <wp:extent cx="1104900" cy="1188720"/>
                      <wp:effectExtent l="3175" t="3175" r="15875" b="8255"/>
                      <wp:wrapNone/>
                      <wp:docPr id="6" name="组合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1104900" cy="1188720"/>
                                <a:chOff x="-103" y="0"/>
                                <a:chExt cx="420" cy="1980"/>
                              </a:xfrm>
                            </wpg:grpSpPr>
                            <wps:wsp>
                              <wps:cNvPr id="4" name="直接连接符 4"/>
                              <wps:cNvCnPr/>
                              <wps:spPr>
                                <a:xfrm>
                                  <a:off x="-103" y="0"/>
                                  <a:ext cx="420" cy="99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5" name="直接连接符 5"/>
                              <wps:cNvCnPr/>
                              <wps:spPr>
                                <a:xfrm>
                                  <a:off x="-103" y="0"/>
                                  <a:ext cx="420" cy="198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5.3pt;margin-top:-0.5pt;height:93.6pt;width:87pt;rotation:11796480f;z-index:251659264;mso-width-relative:page;mso-height-relative:page;" coordorigin="-103,0" coordsize="420,1980" o:gfxdata="UEsDBAoAAAAAAIdO4kAAAAAAAAAAAAAAAAAEAAAAZHJzL1BLAwQUAAAACACHTuJAJcjbgdcAAAAK&#10;AQAADwAAAGRycy9kb3ducmV2LnhtbE2PTWsCMRCG70L/Q5hCb5rsqotsNysilHoqVIVe42bcbLuZ&#10;LEn86L9v7EVv7zAP7zxTLa+2Z2f0oXMkIZsIYEiN0x21Eva7t/ECWIiKtOodoYRfDLCsn0aVKrW7&#10;0Ceet7FlqYRCqSSYGIeS89AYtCpM3ICUdkfnrYpp9C3XXl1Sue15LkTBreooXTBqwLXB5md7shL0&#10;LEz3uNmsfP7xvZt383fTHr+kfHnOxCuwiNd4h+Gmn9ShTk4HdyIdWC9hnIkiof8B2A0opjNghxQW&#10;RQ68rvjjC/UfUEsDBBQAAAAIAIdO4kDqdVMAiwIAACkHAAAOAAAAZHJzL2Uyb0RvYy54bWztVc1u&#10;EzEQviPxDpbv7e62SUlW2fTQtLkgqFR4ANfr3bXkP9lONrlz4IS4I3GjJ47cOPA0UB6DsXeT0CBQ&#10;BYgTOTj+mRnPfN/n2cnpSgq0ZNZxrQqcHaYYMUV1yVVd4OfPLg5GGDlPVEmEVqzAa+bw6fThg0lr&#10;cnakGy1KZhEEUS5vTYEb702eJI42TBJ3qA1TcFhpK4mHpa2T0pIWokuRHKXpSdJqWxqrKXMOdmfd&#10;Ie4j2vsE1FXFKZtpupBM+S6qZYJ4KMk13Dg8jdlWFaP+aVU55pEoMFTq4wiXwPw6jMl0QvLaEtNw&#10;2qdA7pPCXk2ScAWXbkPNiCdoYfkPoSSnVjtd+UOqZdIVEhGBKrJ0D5u51QsTa6nztjZb0IGoPdR/&#10;Oyx9sry0iJcFPsFIEQmE33588fn1S3QSsGlNnYPJ3Jorc2n7jbpbhXJXlZXIaoA1S0dp+EUUoC60&#10;iiCvtyCzlUcUNrMsHYzBDlE4y7LR6NFRTwNtgKvgd5ClxxjtXGlz3jsPwLZzHI+iV9LlMJ0kIdVt&#10;Zq0BcbodYu7PELtqiGGRCBfg6BEbbBF78+HLq3dfP72F8fb9DRp00EXbM9Xj5nIHEG5AC/89SvvV&#10;boDa1joe3y2V5MY6P2daojApsOAqZEdysnzsPLAEqGxMwrZQqAWCj4cBPAJvtoK3AlNpgHen6ujr&#10;tODlBRcieDhbX58Ji5YkvJuO2C7uHbNwyYy4prOLR92Lahgpz1WJ/NqAohQ0EhxSkKzESDDoO2EG&#10;AUnuCRf3sYSShIo0b4AMHF/rcg1sLIzldRNUGIKCFCL7Qb7/QAbDn8lg+HdlkO1Lfkfyfx38Wgex&#10;OUAHjS+j7/ahRX+/jrrZfeGm3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lyNuB1wAAAAoBAAAP&#10;AAAAAAAAAAEAIAAAACIAAABkcnMvZG93bnJldi54bWxQSwECFAAUAAAACACHTuJA6nVTAIsCAAAp&#10;BwAADgAAAAAAAAABACAAAAAmAQAAZHJzL2Uyb0RvYy54bWxQSwUGAAAAAAYABgBZAQAAIwYAAAAA&#10;">
                      <o:lock v:ext="edit" aspectratio="f"/>
                      <v:line id="_x0000_s1026" o:spid="_x0000_s1026" o:spt="20" style="position:absolute;left:-103;top:0;height:990;width:420;" filled="f" stroked="t" coordsize="21600,21600" o:gfxdata="UEsDBAoAAAAAAIdO4kAAAAAAAAAAAAAAAAAEAAAAZHJzL1BLAwQUAAAACACHTuJAy3Cr5bsAAADa&#10;AAAADwAAAGRycy9kb3ducmV2LnhtbEWPQUvEMBSE78L+h/AWvLlJxYrUze5B6LIXD67i+dE822Lz&#10;UpK3zeqvN4LgcZiZb5jt/uIntVBMY2AL1caAIu6CG7m38Pba3jyASoLscApMFr4owX63utpi40Lm&#10;F1pO0qsC4dSghUFkbrRO3UAe0ybMxMX7CNGjFBl77SLmAveTvjXmXnscuSwMONPTQN3n6ewtcCXv&#10;U86Sl/hdH+qqbo/mubX2el2ZR1BCF/kP/7WPzsId/F4pN0Dv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3Cr5b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x0000_s1026" o:spid="_x0000_s1026" o:spt="20" style="position:absolute;left:-103;top:0;height:1980;width:420;" filled="f" stroked="t" coordsize="21600,21600" o:gfxdata="UEsDBAoAAAAAAIdO4kAAAAAAAAAAAAAAAAAEAAAAZHJzL1BLAwQUAAAACACHTuJApDwOfroAAADa&#10;AAAADwAAAGRycy9kb3ducmV2LnhtbEWPQUsDMRSE74L/ITzBm01WWJFt0x6ElV48WMXzY/O6u3Tz&#10;siTPTe2vbwTB4zAz3zCb3dlPaqGYxsAWqpUBRdwFN3Jv4fOjfXgGlQTZ4RSYLPxQgt329maDjQuZ&#10;32k5SK8KhFODFgaRudE6dQN5TKswExfvGKJHKTL22kXMBe4n/WjMk/Y4clkYcKaXgbrT4dtb4Eq+&#10;ppwlL/FSv9ZV3e7NW2vt/V1l1qCEzvIf/mvvnYUafq+UG6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PA5+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 xml:space="preserve">  </w:t>
            </w:r>
          </w:p>
          <w:p w14:paraId="74603F5A">
            <w:pPr>
              <w:jc w:val="center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 xml:space="preserve">   学历层次</w:t>
            </w:r>
          </w:p>
          <w:p w14:paraId="0709E494">
            <w:pPr>
              <w:jc w:val="center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 xml:space="preserve">  </w:t>
            </w:r>
          </w:p>
          <w:p w14:paraId="720FA134">
            <w:pPr>
              <w:ind w:firstLine="316" w:firstLineChars="150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专业</w:t>
            </w:r>
          </w:p>
          <w:p w14:paraId="1776CC71">
            <w:pP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</w:p>
          <w:p w14:paraId="02DBE4F5">
            <w:pP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专业大类</w:t>
            </w:r>
          </w:p>
        </w:tc>
        <w:tc>
          <w:tcPr>
            <w:tcW w:w="2066" w:type="dxa"/>
            <w:noWrap w:val="0"/>
            <w:vAlign w:val="center"/>
          </w:tcPr>
          <w:p w14:paraId="242AD7B7">
            <w:pPr>
              <w:jc w:val="center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研究生</w:t>
            </w:r>
          </w:p>
        </w:tc>
        <w:tc>
          <w:tcPr>
            <w:tcW w:w="2166" w:type="dxa"/>
            <w:noWrap w:val="0"/>
            <w:vAlign w:val="center"/>
          </w:tcPr>
          <w:p w14:paraId="581D889C">
            <w:pPr>
              <w:jc w:val="center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本科</w:t>
            </w:r>
          </w:p>
        </w:tc>
        <w:tc>
          <w:tcPr>
            <w:tcW w:w="2635" w:type="dxa"/>
            <w:noWrap w:val="0"/>
            <w:vAlign w:val="center"/>
          </w:tcPr>
          <w:p w14:paraId="0F086FE0">
            <w:pPr>
              <w:jc w:val="center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专科</w:t>
            </w:r>
          </w:p>
        </w:tc>
      </w:tr>
      <w:tr w14:paraId="2BAC7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noWrap w:val="0"/>
            <w:vAlign w:val="top"/>
          </w:tcPr>
          <w:p w14:paraId="7985C0B8">
            <w:pPr>
              <w:jc w:val="center"/>
              <w:rPr>
                <w:rFonts w:hint="eastAsia" w:ascii="Times New Roman" w:hAnsi="Times New Roman" w:eastAsia="黑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eastAsia="黑体"/>
                <w:b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83" w:type="dxa"/>
            <w:noWrap w:val="0"/>
            <w:vAlign w:val="top"/>
          </w:tcPr>
          <w:p w14:paraId="3DE28D94">
            <w:pPr>
              <w:jc w:val="center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公共管理类</w:t>
            </w:r>
          </w:p>
        </w:tc>
        <w:tc>
          <w:tcPr>
            <w:tcW w:w="2066" w:type="dxa"/>
            <w:noWrap w:val="0"/>
            <w:vAlign w:val="top"/>
          </w:tcPr>
          <w:p w14:paraId="32DB3C69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管理科学与工程，行政管理，社会医学与卫生事业管理，教育经济与管理，社会保障，社会工作，社会学，土地资源管理，图书馆学，情报学，档案学，农业经济管理，林业经济管理，渔业经济管理，公共管理，图书情报与档案管理，图书情报，人力资源管理，工程管理，项目管理，教育领导与管理，农村与区域发展，教育管理，公共管理硕士，工商管理，旅游管理，工商管理硕士，政治学理论，企业管理（含:财务管理、市场营销、人力资源管理），农村发展，政治学，农业管理，物流工程与管理，工业工程与管理，农林经济管理，公共管理学，信息资源管理，国家安全学，工商管理学，技术经济及管理，公共政策学，</w:t>
            </w: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  <w:lang w:eastAsia="zh"/>
              </w:rPr>
              <w:t>城乡规划</w:t>
            </w: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，</w:t>
            </w: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  <w:lang w:eastAsia="zh"/>
              </w:rPr>
              <w:t>城乡规划</w:t>
            </w: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学，城市规划</w:t>
            </w:r>
          </w:p>
        </w:tc>
        <w:tc>
          <w:tcPr>
            <w:tcW w:w="2166" w:type="dxa"/>
            <w:noWrap w:val="0"/>
            <w:vAlign w:val="top"/>
          </w:tcPr>
          <w:p w14:paraId="6E33025C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国民经济管理，信用管理，海关管理，海事管理，海洋管理，边防管理，公安管理学，管理科学，信息管理与信息系统，管理科学工程，人力资源管理，行政管理，政治学与行政学，公共事业管理，工商管理，市场营销，旅游管理，社会保障，劳动与社会保障，劳动和社会保障，土地资源管理，公共关系学，公共政策学，城市管理，公共管理，文化产业管理，文化艺术事业管理，会展经济与管理，国防教育与管理，航运管理，劳动关系，公共安全管理，体育管理，体育产业管理，食品经济管理，农业经济管理，现代农业管理，林业经济管理，渔业经济管理，农林经济管理，农村区域发展，信息资源管理，资源环境与城乡规划管理，农村行政管理，乡镇企业管理，城市管理与监察，工商行政管理，管理科学与工程，交通管理，图书馆学，档案学，保密管理，管理工程，档案管理，卫生事业管理，经济与行政管理，工程管理，社会工作，社会学，行政管理学，财政学，酒店管理，体育经济与管理，物流管理，房地产开发与管理，物业管理，城乡规划，邮政管理，国防动员与国防教育，健康服务与管理，现代物业管理，药事服务与管理，智能交通管理，水路运输与海事管理，民航运输服务与管理，智慧机场运行与管理，邮政快递管理，公共卫生管理，健康管理，旅游规划与设计，智慧社区管理，民政管理，外事实务，智慧健康养老管理，房地产经营管理，城市规划，大数据管理与应用，工业工程，医疗产品管理，金融管理，公共关系，艺术管理，海警后勤管理，医疗保险，养老服务管理，海关检验检疫安全，海外安全管理，自然资源登记与管理，慈善管理，</w:t>
            </w: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  <w:lang w:eastAsia="zh"/>
              </w:rPr>
              <w:t>旅游管理与服务教育，社会体育指导与管理，乡村治理，航空安防管理，无障碍管理</w:t>
            </w: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，应急管理，项目管理</w:t>
            </w:r>
          </w:p>
        </w:tc>
        <w:tc>
          <w:tcPr>
            <w:tcW w:w="2635" w:type="dxa"/>
            <w:noWrap w:val="0"/>
            <w:vAlign w:val="top"/>
          </w:tcPr>
          <w:p w14:paraId="3924A816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社会工作，社区管理与服务，青少年工作与管理，社会福利事业管理，公共关系，商检技术，人民武装，涉外事务管理，公共事务管理，民政管理，行政管理，行政管理学，人力资源管理，劳动与社会保障，国土资源管理，海关管理，环境规划与管理，文化事业管理，文化市场经营与管理，图书档案管理，体育服务与管理，治安管理，交通管理，警察管理，公共安全管理，防火管理，边境管理，老年服务与管理，现代殡仪技术与管理，农业经济管理，林业经济管理，渔业经济管理，农林经济管理，农村行政管理，农村经济管理，林业经济信息管理，渔业资源与渔政管理，农业技术与管理，林业信息工程与管理，都市林业资源与林政管理，农村行政与经济管理，社会救助，国际质量管理体系认证，卫生监督，卫生信息管理，公共卫生管理，电子政务，经济管理，经济信息管理，灾害救援与管理，客运站务管理，知识产权管理，文化艺术管理，工商行政管理，教育管理，档案管理，经济与行政管理，旅游管理，工商企业管理</w:t>
            </w:r>
          </w:p>
        </w:tc>
      </w:tr>
      <w:tr w14:paraId="5CAF4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noWrap w:val="0"/>
            <w:vAlign w:val="top"/>
          </w:tcPr>
          <w:p w14:paraId="261F4358">
            <w:pPr>
              <w:jc w:val="center"/>
              <w:rPr>
                <w:rFonts w:hint="eastAsia" w:ascii="Times New Roman" w:hAnsi="Times New Roman" w:eastAsia="黑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eastAsia="黑体"/>
                <w:b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683" w:type="dxa"/>
            <w:noWrap w:val="0"/>
            <w:vAlign w:val="top"/>
          </w:tcPr>
          <w:p w14:paraId="42133DFF">
            <w:pPr>
              <w:jc w:val="center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财务财会类</w:t>
            </w:r>
          </w:p>
        </w:tc>
        <w:tc>
          <w:tcPr>
            <w:tcW w:w="2066" w:type="dxa"/>
            <w:noWrap w:val="0"/>
            <w:vAlign w:val="top"/>
          </w:tcPr>
          <w:p w14:paraId="17BCFBF3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会计学，财政学（含税收学），税务，会计，会计硕士，金融，金融硕士，金融学，审计，工商管理，资产评估，应用经济学，企业管理（含:财务管理、市场营销、人力资源管理），工商管理学，会计与金融，技术经济及管理，保险</w:t>
            </w:r>
          </w:p>
        </w:tc>
        <w:tc>
          <w:tcPr>
            <w:tcW w:w="2166" w:type="dxa"/>
            <w:noWrap w:val="0"/>
            <w:vAlign w:val="top"/>
          </w:tcPr>
          <w:p w14:paraId="2C893767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财政学，金融学，会计学，财务管理，会计信息技术，财务会计与审计，国际会计，财务会计教育，法学（法务会计），审计学，审计学（ACCA方向），会计，金融工程，保险学，经济学，税收学，国际经济与贸易，经济与金融，工商管理，资产评估，贸易经济，互联网金融，保险，金融科技应用，大数据与财务管理，大数据与会计，大数据与审计，金融数学，税务，金融科技，经济统计学，国际税收，计算金融，</w:t>
            </w: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  <w:lang w:eastAsia="zh"/>
              </w:rPr>
              <w:t>财税，金融，金融审计</w:t>
            </w:r>
          </w:p>
        </w:tc>
        <w:tc>
          <w:tcPr>
            <w:tcW w:w="2635" w:type="dxa"/>
            <w:noWrap w:val="0"/>
            <w:vAlign w:val="top"/>
          </w:tcPr>
          <w:p w14:paraId="178AEBC9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财政，财务管理，财务信息管理，会计，会计学，会计电算化，财务电算化，会计与统计核算，会计与审计，审计实务，统计实务，会计信息技术，涉外会计，财会，国际会计，保险，税务，会计信息管理</w:t>
            </w:r>
          </w:p>
        </w:tc>
      </w:tr>
      <w:tr w14:paraId="5F129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noWrap w:val="0"/>
            <w:vAlign w:val="top"/>
          </w:tcPr>
          <w:p w14:paraId="6D8406D4">
            <w:pPr>
              <w:jc w:val="center"/>
              <w:rPr>
                <w:rFonts w:hint="eastAsia" w:ascii="Times New Roman" w:hAnsi="Times New Roman" w:eastAsia="黑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eastAsia="黑体"/>
                <w:b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683" w:type="dxa"/>
            <w:noWrap w:val="0"/>
            <w:vAlign w:val="top"/>
          </w:tcPr>
          <w:p w14:paraId="1F30B73D">
            <w:pPr>
              <w:jc w:val="center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水利工程类</w:t>
            </w:r>
          </w:p>
        </w:tc>
        <w:tc>
          <w:tcPr>
            <w:tcW w:w="2066" w:type="dxa"/>
            <w:noWrap w:val="0"/>
            <w:vAlign w:val="top"/>
          </w:tcPr>
          <w:p w14:paraId="0C73817F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水文学及水资源，水力学及河流动力学，水工结构工程，水利水电工程，港口、海岸及近海工程，水利工程，市政工程，农业水土工程，流体机械及工程，农业工程，土木水利，农业工程与信息技术，土木工程，水土保持与荒漠化防治，水土保持与荒漠化防治学，海洋工程，农田水土工程</w:t>
            </w:r>
          </w:p>
        </w:tc>
        <w:tc>
          <w:tcPr>
            <w:tcW w:w="2166" w:type="dxa"/>
            <w:noWrap w:val="0"/>
            <w:vAlign w:val="top"/>
          </w:tcPr>
          <w:p w14:paraId="6620CC3F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水利水电工程，水文与水资源工程，水文学及水资源，水文学与水资源，地下水科学与工程，港口航道与海岸工程，水资源与海洋工程，农业水利工程，水务工程，给水排水，给水排水工程，给排水工程，水利水电与港航工程，给排水科学与工程，工程造价，土木工程，水土保持与荒漠化防治，资源循环科学与工程，水质科学与技术，水文与水资源工程技术，智慧水利工程，治河与港航工程，水利水电设备及自动化，生态水利工程，水环境工程，道路桥梁与渡河工程，城市水系统工程，水利科学与工程，智慧水利，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  <w:lang w:bidi="ar"/>
              </w:rPr>
              <w:t>城市地下空间工程，土木、水利与海洋工程</w:t>
            </w:r>
          </w:p>
        </w:tc>
        <w:tc>
          <w:tcPr>
            <w:tcW w:w="2635" w:type="dxa"/>
            <w:noWrap w:val="0"/>
            <w:vAlign w:val="top"/>
          </w:tcPr>
          <w:p w14:paraId="76BFF0DB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水文与水资源，水文自动化测报技术，水信息技术，水政水资源管理，水利工程，水利工程施工技术，水利水电建筑工程，灌溉与排水技术，港口航道与治河工程，河务工程与管理，城市水利，水利水电工程管理，水务管理，水利工程监理，水利工程施工监理，水电站动力设备与管理，机电设备运行与维护，机电排灌设备与管理，水土保持，水环境监测与分析，水电站设备与管理，水利，农业水利技术，水利工程造价管理，水利工程实验与检测技术，水利水电工程造价管理，水生态修复技术</w:t>
            </w:r>
          </w:p>
        </w:tc>
      </w:tr>
      <w:tr w14:paraId="16267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noWrap w:val="0"/>
            <w:vAlign w:val="top"/>
          </w:tcPr>
          <w:p w14:paraId="4A57AC92">
            <w:pPr>
              <w:jc w:val="center"/>
              <w:rPr>
                <w:rFonts w:hint="eastAsia" w:ascii="Times New Roman" w:hAnsi="Times New Roman" w:eastAsia="黑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eastAsia="黑体"/>
                <w:b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683" w:type="dxa"/>
            <w:noWrap w:val="0"/>
            <w:vAlign w:val="top"/>
          </w:tcPr>
          <w:p w14:paraId="54E1BA51">
            <w:pPr>
              <w:jc w:val="center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城建规划类</w:t>
            </w:r>
          </w:p>
        </w:tc>
        <w:tc>
          <w:tcPr>
            <w:tcW w:w="2066" w:type="dxa"/>
            <w:noWrap w:val="0"/>
            <w:vAlign w:val="top"/>
          </w:tcPr>
          <w:p w14:paraId="3878D096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城乡规划学，城市规划与设计（含：风景园林规划与设计），设计学，市政工程，建筑历史与理论，建筑设计及其理论，建筑技术科学，城市规划，风景园林，风景园林学，城市与区域规划，建筑学，园林植物与观赏园艺，建筑与土木工程，土木水利，道路与铁道工程，水工结构工程，结构工程，水利工程，水利水电工程，土木工程，岩土工程，交通运输工程，交通运输规划与管理，人工环境工程，测绘工程，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  <w:lang w:bidi="ar"/>
              </w:rPr>
              <w:t>道路交通运输，环境工程，环境科学与工程，交通运输，人文地理学，桥梁与隧道工程</w:t>
            </w:r>
          </w:p>
        </w:tc>
        <w:tc>
          <w:tcPr>
            <w:tcW w:w="2166" w:type="dxa"/>
            <w:noWrap w:val="0"/>
            <w:vAlign w:val="top"/>
          </w:tcPr>
          <w:p w14:paraId="253D1324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建筑学，城市规划，景观学，风景园林，园艺，园林，城市地下空间工程，景观设计，景观建筑设计，人文地理与城乡规划，城乡规划，资源环境与城乡规划管理，现代园艺，环境设计，历史建筑保护工程，土木工程，给排水科学与工程，道路桥梁与渡河工程，房地产开发与管理，城市管理，水利水电工程，水利工程，交通工程，建筑设计，园林景观工程，城市设计数字技术，城市地下工程，市政工程，环境艺术设计，给水排水工程，水文与水资源工程，水务工程，房地产经营管理，交通运输，建筑工程，道路与桥梁工程，艺术设计，人居环境科学与技术，城市设计，智慧建筑与建造，旅游地学与规划工程，环境工程，建设工程管理，建筑环境与能源应用工程，建筑环境与设备工程，土木、水利与海洋工程，自然地理与资源环境，测绘工程，地下水科学与工程，水利科学与工程</w:t>
            </w:r>
          </w:p>
        </w:tc>
        <w:tc>
          <w:tcPr>
            <w:tcW w:w="2635" w:type="dxa"/>
            <w:noWrap w:val="0"/>
            <w:vAlign w:val="top"/>
          </w:tcPr>
          <w:p w14:paraId="5C65C9A7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室内设计技术，环境艺术设计，园林工程技术，城镇规划，城市管理与监察，城镇建设，市政工程技术，建筑设计技术，景观设计，园林规划设计，建筑室内设计，</w:t>
            </w: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  <w:lang w:eastAsia="zh"/>
              </w:rPr>
              <w:t>工程监理</w:t>
            </w:r>
          </w:p>
        </w:tc>
      </w:tr>
      <w:tr w14:paraId="1E133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noWrap w:val="0"/>
            <w:vAlign w:val="top"/>
          </w:tcPr>
          <w:p w14:paraId="72A77B77">
            <w:pPr>
              <w:jc w:val="center"/>
              <w:rPr>
                <w:rFonts w:hint="eastAsia" w:ascii="Times New Roman" w:hAnsi="Times New Roman" w:eastAsia="黑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eastAsia="黑体"/>
                <w:b/>
                <w:color w:val="auto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683" w:type="dxa"/>
            <w:noWrap w:val="0"/>
            <w:vAlign w:val="top"/>
          </w:tcPr>
          <w:p w14:paraId="26B09795">
            <w:pPr>
              <w:jc w:val="center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食品工程类</w:t>
            </w:r>
          </w:p>
        </w:tc>
        <w:tc>
          <w:tcPr>
            <w:tcW w:w="2066" w:type="dxa"/>
            <w:noWrap w:val="0"/>
            <w:vAlign w:val="top"/>
          </w:tcPr>
          <w:p w14:paraId="689518F4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  <w:szCs w:val="18"/>
                <w:highlight w:val="none"/>
              </w:rPr>
              <w:t>制糖工程，发酵工程，食品科学，粮食、油脂及植物蛋白工程，农产品加工及贮藏工程，水产品加工及贮藏工程，营养与食品卫生学，食品加工与安全，食品工程，食品科学与工程</w:t>
            </w: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，食品与营养</w:t>
            </w:r>
          </w:p>
        </w:tc>
        <w:tc>
          <w:tcPr>
            <w:tcW w:w="2166" w:type="dxa"/>
            <w:noWrap w:val="0"/>
            <w:vAlign w:val="top"/>
          </w:tcPr>
          <w:p w14:paraId="2F4950D7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食品科学与工程，食品质量与安全，酿酒工程，葡萄与葡萄酒工程，农产品质量与安全，粮食工程，乳品工程，植物资源工程，食品卫生与营养学，食品营养与检验教育，质量管理工程，食品安全与品控，营养学，食品工程技术，食品营养与健康，现代粮食工程技术，烹饪与营养教育，食品安全与检测，食用菌科学与工程，白酒酿造工程</w:t>
            </w:r>
          </w:p>
        </w:tc>
        <w:tc>
          <w:tcPr>
            <w:tcW w:w="2635" w:type="dxa"/>
            <w:noWrap w:val="0"/>
            <w:vAlign w:val="top"/>
          </w:tcPr>
          <w:p w14:paraId="434D12EB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食品加工技术，食品营养与检测，食品贮运与营销，食品机械与管理，食品生物技术，农畜特产品加工，粮食工程，食品药品监督管理，食品卫生检验，食品分析与检验，食品加工及管理，食品检测及管理，酿酒技术，粮油储藏与检测技术，乳品工艺，食品工艺与检测，食品工艺技术，发酵技术，营养与食品卫生，技术监督与商检，营养与配餐，马铃薯生产加工，制糖生产技术与管理，功能性食品生产技术，食品质量与安全监管，黄酒酿造，食品质量与安全，餐饮食品安全，食品安全与检测，</w:t>
            </w: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  <w:lang w:eastAsia="zh"/>
              </w:rPr>
              <w:t>食品智能加工技术</w:t>
            </w:r>
          </w:p>
        </w:tc>
      </w:tr>
      <w:tr w14:paraId="3C114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noWrap w:val="0"/>
            <w:vAlign w:val="top"/>
          </w:tcPr>
          <w:p w14:paraId="44B47A7E">
            <w:pPr>
              <w:jc w:val="center"/>
              <w:rPr>
                <w:rFonts w:hint="eastAsia" w:ascii="Times New Roman" w:hAnsi="Times New Roman" w:eastAsia="黑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eastAsia="黑体"/>
                <w:b/>
                <w:color w:val="auto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683" w:type="dxa"/>
            <w:noWrap w:val="0"/>
            <w:vAlign w:val="top"/>
          </w:tcPr>
          <w:p w14:paraId="6FC53F68">
            <w:pPr>
              <w:jc w:val="center"/>
              <w:rPr>
                <w:rFonts w:hint="eastAsia"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农业类</w:t>
            </w:r>
          </w:p>
        </w:tc>
        <w:tc>
          <w:tcPr>
            <w:tcW w:w="2066" w:type="dxa"/>
            <w:noWrap w:val="0"/>
            <w:vAlign w:val="top"/>
          </w:tcPr>
          <w:p w14:paraId="5BACD699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农业，农业机械化工程，农业水土工程，农业生物环境与能源工程，农业电气化与自动化，作物栽培学与耕作学，作物遗传育种，作物，果树学，蔬菜学，茶学，土壤学，植物营养学，植物病理学，农业昆虫与害虫防治，农药学，农业经济管理，林业经济管理，农林经济管理，渔业经济管理，渔业资源与渔政管理，渔业，水产养殖，植物资源工程，植物学，植物保护，农业推广，农业科技组织与服务，作物安全生产与质量管理，农业资源利用，资源利用与植物保护，农村与区域发展，农村发展，农业工程，园林植物与观赏园艺，园艺，园艺学，草学，作物学，农业工程与信息技术，农业机械化，农业管理，渔业发展，农艺与种业，渔业资源，水产，畜牧学，森林保护学，森林培育，森林经理学，林木遗传育种，林业，风景园林学，林学，水土保持与荒漠化防治学，食品与营养，农机装备工程，农业资源与环境，农田水土工程</w:t>
            </w:r>
          </w:p>
        </w:tc>
        <w:tc>
          <w:tcPr>
            <w:tcW w:w="2166" w:type="dxa"/>
            <w:noWrap w:val="0"/>
            <w:vAlign w:val="top"/>
          </w:tcPr>
          <w:p w14:paraId="1B52DE69">
            <w:pPr>
              <w:jc w:val="both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农业机械化及其自动化，农业电气化与自动化，农业电气化，农业建筑环境与能源工程，农业水利工程，农业工程，生物系统工程，生物工程，农学，园艺，林学，植物保护，茶学，烟草，植物科学与技术，种子科学与工程，应用生物科学，设施农业科学与工程，草业科学，农业经济，农业经济管理，农林经济管理，林业经济管理，渔业经济管理，渔业资源与渔政管理，农业资源与环境，农村区域发展，现代农业管理，现代园艺，园林，农艺教育，森林保护，生物技术，生物科学，水产养殖学，动物医学，动物科学，现代种业技术，作物生产与品质改良，智慧农业技术，现代农业经营与管理，现代水产养殖技术，设施园艺，农业生物技术，动植物检疫，风景园林，智慧农业，菌物科学与工程，农药化肥，生物农药科学与工程，生物育种科学，生物质科学与工程，草坪科学与工程，海洋渔业科学与技术，经济林，乡村治理，水土保持与荒漠化防治</w:t>
            </w:r>
          </w:p>
        </w:tc>
        <w:tc>
          <w:tcPr>
            <w:tcW w:w="2635" w:type="dxa"/>
            <w:noWrap w:val="0"/>
            <w:vAlign w:val="top"/>
          </w:tcPr>
          <w:p w14:paraId="6A07AB1D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作物生产技术，种子生产与经营，设施农业技术，观光农业，园艺技术，茶叶生产加工技术，中草药栽培技术，烟草栽培技术，植物保护，植物检疫，农产品质量检测，农业经济管理，农林经济管理，林业经济管理，渔业经济管理，渔业资源与渔政管理，茶艺，绿色食品生产与经营，绿色食品生产与检测，药用植物栽培加工，食药用菌，农村行政管理，农业技术与管理，农村行政与经济管理，乡镇企业管理，热带作物生产技术，生态农业技术，都市农业装备应用技术，生态与农业气象技术，农产品加工与质量检测，</w:t>
            </w: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  <w:lang w:eastAsia="zh"/>
              </w:rPr>
              <w:t>现代农业技术</w:t>
            </w:r>
          </w:p>
        </w:tc>
      </w:tr>
      <w:tr w14:paraId="5C761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noWrap w:val="0"/>
            <w:vAlign w:val="top"/>
          </w:tcPr>
          <w:p w14:paraId="66C6D7EF">
            <w:pPr>
              <w:jc w:val="center"/>
              <w:rPr>
                <w:rFonts w:hint="eastAsia" w:ascii="Times New Roman" w:hAnsi="Times New Roman" w:eastAsia="黑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eastAsia="黑体"/>
                <w:b/>
                <w:color w:val="auto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683" w:type="dxa"/>
            <w:noWrap w:val="0"/>
            <w:vAlign w:val="top"/>
          </w:tcPr>
          <w:p w14:paraId="380D2949">
            <w:pPr>
              <w:jc w:val="center"/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/>
                <w:color w:val="auto"/>
                <w:szCs w:val="21"/>
                <w:highlight w:val="none"/>
              </w:rPr>
              <w:t>林业类</w:t>
            </w:r>
          </w:p>
        </w:tc>
        <w:tc>
          <w:tcPr>
            <w:tcW w:w="2066" w:type="dxa"/>
            <w:noWrap w:val="0"/>
            <w:vAlign w:val="top"/>
          </w:tcPr>
          <w:p w14:paraId="1DF62E30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森林工程，木材科学与技术，林产化学加工工程，林木遗传育种，森林培育，森林保护学，森林经理学，野生动植物保护与利用，园林植物与观赏园艺，风景园林学，水土保持与荒漠化防治，林业经济管理，植物资源工程，土壤学，植物营养学，植物病理学，植物学，林业，林业工程，园艺，园艺学，风景园林，农艺与种业，植物保护，农林经济管理，资源利用与植物保护，水土保持与荒漠化防治学，农业昆虫与害虫防治</w:t>
            </w:r>
          </w:p>
        </w:tc>
        <w:tc>
          <w:tcPr>
            <w:tcW w:w="2166" w:type="dxa"/>
            <w:noWrap w:val="0"/>
            <w:vAlign w:val="top"/>
          </w:tcPr>
          <w:p w14:paraId="467974FC">
            <w:pPr>
              <w:jc w:val="left"/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  <w:szCs w:val="18"/>
                <w:highlight w:val="none"/>
              </w:rPr>
              <w:t>森林工程，木材科学与工程，林产化工，园艺，植物保护，林学，森林资源保护与游憩，野生动物与自然保护区管理，园林，林业经济管理，农林经济管理，林业信息管理，植物科学与技术，种子科学与工程，土地规划与利用，应用生物科学，森林保护，林业生态环境工程与管理，现代园艺，水土保持与荒漠化防治，草业科学，风景园林，智慧林业技术，园林工程，木业产品智能制造，家具设计与工程，木结构建筑与材料，经济林，智慧林业，草坪科学与工程</w:t>
            </w:r>
          </w:p>
        </w:tc>
        <w:tc>
          <w:tcPr>
            <w:tcW w:w="2635" w:type="dxa"/>
            <w:noWrap w:val="0"/>
            <w:vAlign w:val="top"/>
          </w:tcPr>
          <w:p w14:paraId="06EB6187">
            <w:pPr>
              <w:jc w:val="left"/>
              <w:rPr>
                <w:rFonts w:ascii="Times New Roman" w:hAnsi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  <w:szCs w:val="18"/>
                <w:highlight w:val="none"/>
              </w:rPr>
              <w:t>作物生产技术，种子生产与经营，林业技术，园林技术，森林资源保护，野生植物资源开发与利用，野生动物保护，自然保护区建设与管理，森林生态旅游，林产化工技术，木材加工，木材加工技术，森林采运工程，林业经济管理，农林经济管理，林业信息管理，林业经济信息管理，植物保护，植物检疫，森林工程技术，商品花卉，城市园林，林副新产品加工，林业信息工程与管理，都市林业资源与林政管理，都市园艺，设施园艺工程，林业信息技术，经济林培育与利用，草原保护与利用，数字林业科技，园林规划设计，</w:t>
            </w:r>
            <w:r>
              <w:rPr>
                <w:rFonts w:ascii="Times New Roman" w:hAnsi="Times New Roman"/>
                <w:b/>
                <w:color w:val="auto"/>
                <w:kern w:val="0"/>
                <w:sz w:val="18"/>
                <w:szCs w:val="18"/>
                <w:highlight w:val="none"/>
              </w:rPr>
              <w:t>风景园林设计</w:t>
            </w:r>
          </w:p>
        </w:tc>
      </w:tr>
    </w:tbl>
    <w:p w14:paraId="685E76EB">
      <w:pPr>
        <w:spacing w:line="600" w:lineRule="exact"/>
        <w:textAlignment w:val="baseline"/>
        <w:rPr>
          <w:rFonts w:hint="eastAsia" w:ascii="Times New Roman" w:hAnsi="Times New Roman" w:eastAsia="方正黑体_GBK"/>
          <w:b/>
          <w:color w:val="000000"/>
          <w:sz w:val="32"/>
          <w:szCs w:val="32"/>
        </w:rPr>
      </w:pPr>
    </w:p>
    <w:p w14:paraId="5C775E62">
      <w:pPr>
        <w:spacing w:line="600" w:lineRule="exact"/>
        <w:textAlignment w:val="baseline"/>
        <w:rPr>
          <w:rFonts w:hint="eastAsia" w:ascii="Times New Roman" w:hAnsi="Times New Roman" w:eastAsia="方正黑体_GBK"/>
          <w:b/>
          <w:color w:val="000000"/>
          <w:sz w:val="32"/>
          <w:szCs w:val="32"/>
        </w:rPr>
      </w:pPr>
    </w:p>
    <w:p w14:paraId="482A6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/>
        <w:jc w:val="left"/>
        <w:rPr>
          <w:rFonts w:hint="default" w:eastAsia="方正小标宋_GBK" w:cs="方正小标宋_GBK"/>
          <w:color w:val="000000"/>
          <w:spacing w:val="0"/>
          <w:sz w:val="44"/>
          <w:szCs w:val="44"/>
          <w:u w:val="single"/>
          <w:lang w:val="en-US" w:eastAsia="zh-CN"/>
        </w:rPr>
      </w:pPr>
    </w:p>
    <w:sectPr>
      <w:footerReference r:id="rId3" w:type="default"/>
      <w:pgSz w:w="11906" w:h="16838"/>
      <w:pgMar w:top="1701" w:right="1531" w:bottom="1588" w:left="1531" w:header="851" w:footer="130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01C7CE-9940-425C-B085-C9273B6F0F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AAB827C-6EEF-4FD1-957D-54BDAA4AE7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C893618-3F56-4467-B9D4-E2B50EC922D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9D454014-83DC-4073-B145-66F8AAB0734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F1795016-610B-4326-8502-6E4AD23083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C3551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3513D9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3513D9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7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85461"/>
    <w:rsid w:val="04FE1398"/>
    <w:rsid w:val="28B55D99"/>
    <w:rsid w:val="3A41511B"/>
    <w:rsid w:val="54592B12"/>
    <w:rsid w:val="595168AA"/>
    <w:rsid w:val="62985461"/>
    <w:rsid w:val="64744D5D"/>
    <w:rsid w:val="7D63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left="181" w:firstLine="640" w:firstLineChars="200"/>
    </w:pPr>
    <w:rPr>
      <w:rFonts w:ascii="仿宋_GB2312" w:eastAsia="仿宋_GB2312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5205</Words>
  <Characters>5211</Characters>
  <Lines>0</Lines>
  <Paragraphs>0</Paragraphs>
  <TotalTime>3</TotalTime>
  <ScaleCrop>false</ScaleCrop>
  <LinksUpToDate>false</LinksUpToDate>
  <CharactersWithSpaces>5218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2025-09-04T01:12:00Z</dcterms:created>
  <dc:creator>Minmin Lee</dc:creator>
  <cp:lastModifiedBy>叶子</cp:lastModifiedBy>
  <cp:lastPrinted>2025-09-04T02:33:00Z</cp:lastPrinted>
  <dcterms:modified xsi:type="dcterms:W3CDTF">2026-09-08T08:06:14Z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8ED09075EE3D4F5DB2DE7A4D873E4A5D_13</vt:lpwstr>
  </property>
  <property fmtid="{D5CDD505-2E9C-101B-9397-08002B2CF9AE}" pid="4" name="KSOTemplateDocerSaveRecord">
    <vt:lpwstr>eyJoZGlkIjoiMGQ1NWUxY2YzODg1YTg4ZDgzNmFhY2IzZTVhMjg2NjAiLCJ1c2VySWQiOiIzODQ5MzMyMzAifQ==</vt:lpwstr>
  </property>
</Properties>
</file>